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21" w:rsidRDefault="00692D21" w:rsidP="003C25F6">
      <w:pPr>
        <w:spacing w:line="360" w:lineRule="auto"/>
        <w:jc w:val="center"/>
        <w:rPr>
          <w:rFonts w:ascii="Palatino Linotype" w:hAnsi="Palatino Linotype" w:cs="Courier New"/>
          <w:b/>
          <w:bCs/>
          <w:spacing w:val="84"/>
          <w:sz w:val="24"/>
          <w:szCs w:val="24"/>
          <w:u w:val="single"/>
        </w:rPr>
      </w:pPr>
    </w:p>
    <w:p w:rsidR="009E51F8" w:rsidRDefault="009E51F8" w:rsidP="003C25F6">
      <w:pPr>
        <w:spacing w:line="360" w:lineRule="auto"/>
        <w:jc w:val="center"/>
        <w:rPr>
          <w:rFonts w:ascii="Palatino Linotype" w:hAnsi="Palatino Linotype" w:cs="Courier New"/>
          <w:b/>
          <w:bCs/>
          <w:spacing w:val="84"/>
          <w:sz w:val="24"/>
          <w:szCs w:val="24"/>
          <w:u w:val="single"/>
        </w:rPr>
      </w:pPr>
      <w:r w:rsidRPr="00CF6446">
        <w:rPr>
          <w:rFonts w:ascii="Palatino Linotype" w:hAnsi="Palatino Linotype" w:cs="Courier New"/>
          <w:b/>
          <w:bCs/>
          <w:spacing w:val="84"/>
          <w:sz w:val="24"/>
          <w:szCs w:val="24"/>
          <w:u w:val="single"/>
        </w:rPr>
        <w:t xml:space="preserve">LEI </w:t>
      </w:r>
      <w:r w:rsidR="00B3461B" w:rsidRPr="00CF6446">
        <w:rPr>
          <w:rFonts w:ascii="Palatino Linotype" w:hAnsi="Palatino Linotype" w:cs="Courier New"/>
          <w:b/>
          <w:bCs/>
          <w:spacing w:val="84"/>
          <w:sz w:val="24"/>
          <w:szCs w:val="24"/>
          <w:u w:val="single"/>
        </w:rPr>
        <w:t>N</w:t>
      </w:r>
      <w:r w:rsidR="00B42AB0">
        <w:rPr>
          <w:rFonts w:ascii="Palatino Linotype" w:hAnsi="Palatino Linotype" w:cs="Courier New"/>
          <w:b/>
          <w:bCs/>
          <w:spacing w:val="84"/>
          <w:sz w:val="24"/>
          <w:szCs w:val="24"/>
          <w:u w:val="single"/>
        </w:rPr>
        <w:t xml:space="preserve">º 628, DE 01 DE DEZEMBRO DE </w:t>
      </w:r>
      <w:r w:rsidRPr="00CF6446">
        <w:rPr>
          <w:rFonts w:ascii="Palatino Linotype" w:hAnsi="Palatino Linotype" w:cs="Courier New"/>
          <w:b/>
          <w:bCs/>
          <w:spacing w:val="84"/>
          <w:sz w:val="24"/>
          <w:szCs w:val="24"/>
          <w:u w:val="single"/>
        </w:rPr>
        <w:t>201</w:t>
      </w:r>
      <w:r w:rsidR="00B3461B" w:rsidRPr="00CF6446">
        <w:rPr>
          <w:rFonts w:ascii="Palatino Linotype" w:hAnsi="Palatino Linotype" w:cs="Courier New"/>
          <w:b/>
          <w:bCs/>
          <w:spacing w:val="84"/>
          <w:sz w:val="24"/>
          <w:szCs w:val="24"/>
          <w:u w:val="single"/>
        </w:rPr>
        <w:t>5</w:t>
      </w:r>
      <w:r w:rsidR="00B42AB0">
        <w:rPr>
          <w:rFonts w:ascii="Palatino Linotype" w:hAnsi="Palatino Linotype" w:cs="Courier New"/>
          <w:b/>
          <w:bCs/>
          <w:spacing w:val="84"/>
          <w:sz w:val="24"/>
          <w:szCs w:val="24"/>
          <w:u w:val="single"/>
        </w:rPr>
        <w:t>.</w:t>
      </w:r>
    </w:p>
    <w:p w:rsidR="00734390" w:rsidRPr="00CF6446" w:rsidRDefault="00734390" w:rsidP="003C25F6">
      <w:pPr>
        <w:spacing w:line="360" w:lineRule="auto"/>
        <w:jc w:val="center"/>
        <w:rPr>
          <w:rFonts w:ascii="Palatino Linotype" w:hAnsi="Palatino Linotype" w:cs="Courier New"/>
          <w:b/>
          <w:bCs/>
          <w:spacing w:val="26"/>
          <w:sz w:val="24"/>
          <w:szCs w:val="24"/>
        </w:rPr>
      </w:pPr>
      <w:r>
        <w:rPr>
          <w:rFonts w:ascii="Palatino Linotype" w:hAnsi="Palatino Linotype" w:cs="Courier New"/>
          <w:b/>
          <w:bCs/>
          <w:spacing w:val="84"/>
          <w:sz w:val="24"/>
          <w:szCs w:val="24"/>
          <w:u w:val="single"/>
        </w:rPr>
        <w:t>Republica por Incorreção no Art. 2°.</w:t>
      </w:r>
    </w:p>
    <w:p w:rsidR="00C77B83" w:rsidRPr="00B3461B" w:rsidRDefault="00C77B83" w:rsidP="003C25F6">
      <w:pPr>
        <w:spacing w:line="360" w:lineRule="auto"/>
        <w:ind w:firstLine="2342"/>
        <w:jc w:val="both"/>
        <w:rPr>
          <w:rFonts w:ascii="Palatino Linotype" w:hAnsi="Palatino Linotype" w:cs="Courier New"/>
          <w:b/>
          <w:bCs/>
          <w:sz w:val="21"/>
          <w:szCs w:val="21"/>
        </w:rPr>
      </w:pPr>
    </w:p>
    <w:p w:rsidR="009E51F8" w:rsidRPr="00B3461B" w:rsidRDefault="009E51F8" w:rsidP="003C25F6">
      <w:pPr>
        <w:spacing w:line="360" w:lineRule="auto"/>
        <w:ind w:firstLine="1418"/>
        <w:jc w:val="both"/>
        <w:rPr>
          <w:rFonts w:ascii="Palatino Linotype" w:hAnsi="Palatino Linotype"/>
          <w:b/>
          <w:iCs/>
          <w:spacing w:val="15"/>
          <w:sz w:val="24"/>
          <w:szCs w:val="24"/>
        </w:rPr>
      </w:pPr>
      <w:r w:rsidRPr="00B3461B">
        <w:rPr>
          <w:rFonts w:ascii="Palatino Linotype" w:hAnsi="Palatino Linotype"/>
          <w:iCs/>
          <w:spacing w:val="15"/>
          <w:sz w:val="24"/>
          <w:szCs w:val="24"/>
        </w:rPr>
        <w:t> </w:t>
      </w:r>
    </w:p>
    <w:p w:rsidR="00C77B83" w:rsidRPr="00B3461B" w:rsidRDefault="00E54656" w:rsidP="003C25F6">
      <w:pPr>
        <w:spacing w:line="360" w:lineRule="auto"/>
        <w:ind w:left="3119" w:firstLine="6"/>
        <w:jc w:val="both"/>
        <w:rPr>
          <w:rFonts w:ascii="Palatino Linotype" w:hAnsi="Palatino Linotype" w:cs="Calibri"/>
          <w:b/>
          <w:sz w:val="24"/>
          <w:szCs w:val="24"/>
        </w:rPr>
      </w:pPr>
      <w:r w:rsidRPr="00B3461B">
        <w:rPr>
          <w:rFonts w:ascii="Palatino Linotype" w:hAnsi="Palatino Linotype" w:cs="Calibri"/>
          <w:b/>
          <w:sz w:val="24"/>
          <w:szCs w:val="24"/>
        </w:rPr>
        <w:t>“</w:t>
      </w:r>
      <w:r w:rsidR="003C25F6">
        <w:rPr>
          <w:rFonts w:ascii="Palatino Linotype" w:hAnsi="Palatino Linotype"/>
          <w:b/>
          <w:sz w:val="24"/>
          <w:szCs w:val="24"/>
        </w:rPr>
        <w:t>A</w:t>
      </w:r>
      <w:r w:rsidR="003C25F6" w:rsidRPr="003C25F6">
        <w:rPr>
          <w:rFonts w:ascii="Palatino Linotype" w:hAnsi="Palatino Linotype"/>
          <w:b/>
          <w:sz w:val="24"/>
          <w:szCs w:val="24"/>
        </w:rPr>
        <w:t xml:space="preserve">utoriza o Poder Executivo Municipal a doar lotes de terreno de sua propriedade </w:t>
      </w:r>
      <w:r w:rsidR="00384D8F">
        <w:rPr>
          <w:rFonts w:ascii="Palatino Linotype" w:hAnsi="Palatino Linotype"/>
          <w:b/>
          <w:sz w:val="24"/>
          <w:szCs w:val="24"/>
        </w:rPr>
        <w:t>a pessoas, beneficiária</w:t>
      </w:r>
      <w:r w:rsidR="003C25F6" w:rsidRPr="003C25F6">
        <w:rPr>
          <w:rFonts w:ascii="Palatino Linotype" w:hAnsi="Palatino Linotype"/>
          <w:b/>
          <w:sz w:val="24"/>
          <w:szCs w:val="24"/>
        </w:rPr>
        <w:t>s de programas de Interesse Social</w:t>
      </w:r>
      <w:r w:rsidR="003C25F6" w:rsidRPr="003C25F6">
        <w:rPr>
          <w:rFonts w:ascii="Palatino Linotype" w:hAnsi="Palatino Linotype" w:cs="Courier New"/>
          <w:b/>
          <w:sz w:val="24"/>
          <w:szCs w:val="24"/>
        </w:rPr>
        <w:t>, bem como isenta o pagamento de Imposto</w:t>
      </w:r>
      <w:r w:rsidR="003C25F6">
        <w:rPr>
          <w:rFonts w:ascii="Palatino Linotype" w:hAnsi="Palatino Linotype" w:cs="Courier New"/>
          <w:b/>
          <w:sz w:val="24"/>
          <w:szCs w:val="24"/>
        </w:rPr>
        <w:t>s</w:t>
      </w:r>
      <w:r w:rsidR="003C25F6" w:rsidRPr="003C25F6">
        <w:rPr>
          <w:rFonts w:ascii="Palatino Linotype" w:hAnsi="Palatino Linotype" w:cs="Courier New"/>
          <w:b/>
          <w:sz w:val="24"/>
          <w:szCs w:val="24"/>
        </w:rPr>
        <w:t xml:space="preserve"> </w:t>
      </w:r>
      <w:r w:rsidR="00AA39FB" w:rsidRPr="00B3461B">
        <w:rPr>
          <w:rFonts w:ascii="Palatino Linotype" w:hAnsi="Palatino Linotype"/>
          <w:b/>
          <w:sz w:val="24"/>
          <w:szCs w:val="24"/>
        </w:rPr>
        <w:t>que especifica</w:t>
      </w:r>
      <w:r w:rsidR="000A3FB4" w:rsidRPr="00B3461B">
        <w:rPr>
          <w:rFonts w:ascii="Palatino Linotype" w:hAnsi="Palatino Linotype"/>
          <w:b/>
          <w:sz w:val="24"/>
          <w:szCs w:val="24"/>
        </w:rPr>
        <w:t xml:space="preserve"> e</w:t>
      </w:r>
      <w:r w:rsidRPr="00B3461B">
        <w:rPr>
          <w:rFonts w:ascii="Palatino Linotype" w:hAnsi="Palatino Linotype" w:cs="Calibri"/>
          <w:b/>
          <w:sz w:val="24"/>
          <w:szCs w:val="24"/>
        </w:rPr>
        <w:t xml:space="preserve"> dá outras providências correlatas</w:t>
      </w:r>
      <w:r w:rsidR="00C77B83" w:rsidRPr="00B3461B">
        <w:rPr>
          <w:rFonts w:ascii="Palatino Linotype" w:hAnsi="Palatino Linotype" w:cs="Calibri"/>
          <w:b/>
          <w:sz w:val="24"/>
          <w:szCs w:val="24"/>
        </w:rPr>
        <w:t>”.</w:t>
      </w:r>
    </w:p>
    <w:p w:rsidR="00C77B83" w:rsidRPr="00B3461B" w:rsidRDefault="00C77B83" w:rsidP="003C25F6">
      <w:pPr>
        <w:spacing w:line="360" w:lineRule="auto"/>
        <w:ind w:left="4254" w:firstLine="6"/>
        <w:jc w:val="both"/>
        <w:rPr>
          <w:rFonts w:ascii="Palatino Linotype" w:hAnsi="Palatino Linotype" w:cs="Calibri"/>
          <w:sz w:val="24"/>
          <w:szCs w:val="24"/>
        </w:rPr>
      </w:pPr>
    </w:p>
    <w:p w:rsidR="00C77B83" w:rsidRPr="00B3461B" w:rsidRDefault="00C77B83" w:rsidP="003C25F6">
      <w:pPr>
        <w:spacing w:line="360" w:lineRule="auto"/>
        <w:ind w:left="4254" w:firstLine="6"/>
        <w:jc w:val="both"/>
        <w:rPr>
          <w:rFonts w:ascii="Palatino Linotype" w:hAnsi="Palatino Linotype" w:cs="Calibri"/>
          <w:sz w:val="24"/>
          <w:szCs w:val="24"/>
        </w:rPr>
      </w:pPr>
    </w:p>
    <w:p w:rsidR="00C77B83" w:rsidRPr="00B3461B" w:rsidRDefault="00C77B83" w:rsidP="003C25F6">
      <w:pPr>
        <w:spacing w:line="360" w:lineRule="auto"/>
        <w:ind w:left="4254" w:firstLine="6"/>
        <w:jc w:val="both"/>
        <w:rPr>
          <w:rFonts w:ascii="Palatino Linotype" w:hAnsi="Palatino Linotype" w:cs="Calibri"/>
          <w:sz w:val="24"/>
          <w:szCs w:val="24"/>
        </w:rPr>
      </w:pPr>
    </w:p>
    <w:p w:rsidR="00C77B83" w:rsidRPr="00B3461B" w:rsidRDefault="00C77B83" w:rsidP="003C25F6">
      <w:pPr>
        <w:spacing w:line="360" w:lineRule="auto"/>
        <w:ind w:firstLine="1701"/>
        <w:jc w:val="both"/>
        <w:rPr>
          <w:rFonts w:ascii="Palatino Linotype" w:hAnsi="Palatino Linotype" w:cs="Calibri"/>
          <w:sz w:val="24"/>
          <w:szCs w:val="24"/>
        </w:rPr>
      </w:pPr>
      <w:r w:rsidRPr="00B3461B">
        <w:rPr>
          <w:rFonts w:ascii="Palatino Linotype" w:hAnsi="Palatino Linotype" w:cs="Calibri"/>
          <w:sz w:val="24"/>
          <w:szCs w:val="24"/>
        </w:rPr>
        <w:t xml:space="preserve"> </w:t>
      </w:r>
      <w:r w:rsidRPr="00B3461B">
        <w:rPr>
          <w:rFonts w:ascii="Palatino Linotype" w:hAnsi="Palatino Linotype" w:cs="Calibri"/>
          <w:b/>
          <w:sz w:val="24"/>
          <w:szCs w:val="24"/>
        </w:rPr>
        <w:t>O PREFEITO MUNICIPAL DE ITAQUIRAÍ, ESTADO DE MATO GROSSO DO SUL</w:t>
      </w:r>
      <w:r w:rsidRPr="00B3461B">
        <w:rPr>
          <w:rFonts w:ascii="Palatino Linotype" w:hAnsi="Palatino Linotype" w:cs="Calibri"/>
          <w:sz w:val="24"/>
          <w:szCs w:val="24"/>
        </w:rPr>
        <w:t>, faz saber que o povo de Itaquiraí, através de seus legítimos representantes junto a Câmara Municipal aprovou e el</w:t>
      </w:r>
      <w:r w:rsidR="00B824E0" w:rsidRPr="00B3461B">
        <w:rPr>
          <w:rFonts w:ascii="Palatino Linotype" w:hAnsi="Palatino Linotype" w:cs="Calibri"/>
          <w:sz w:val="24"/>
          <w:szCs w:val="24"/>
        </w:rPr>
        <w:t>e</w:t>
      </w:r>
      <w:r w:rsidRPr="00B3461B">
        <w:rPr>
          <w:rFonts w:ascii="Palatino Linotype" w:hAnsi="Palatino Linotype" w:cs="Calibri"/>
          <w:sz w:val="24"/>
          <w:szCs w:val="24"/>
        </w:rPr>
        <w:t xml:space="preserve"> sanciona a seguinte </w:t>
      </w:r>
      <w:r w:rsidRPr="00B3461B">
        <w:rPr>
          <w:rFonts w:ascii="Palatino Linotype" w:hAnsi="Palatino Linotype" w:cs="Calibri"/>
          <w:b/>
          <w:sz w:val="24"/>
          <w:szCs w:val="24"/>
        </w:rPr>
        <w:t>L E I</w:t>
      </w:r>
      <w:r w:rsidRPr="00B3461B">
        <w:rPr>
          <w:rFonts w:ascii="Palatino Linotype" w:hAnsi="Palatino Linotype" w:cs="Calibri"/>
          <w:sz w:val="24"/>
          <w:szCs w:val="24"/>
        </w:rPr>
        <w:t>:</w:t>
      </w:r>
    </w:p>
    <w:p w:rsidR="00461DBE" w:rsidRPr="00B3461B" w:rsidRDefault="00461DBE" w:rsidP="003C25F6">
      <w:pPr>
        <w:spacing w:line="360" w:lineRule="auto"/>
        <w:ind w:firstLine="1701"/>
        <w:jc w:val="both"/>
        <w:rPr>
          <w:rFonts w:ascii="Palatino Linotype" w:hAnsi="Palatino Linotype" w:cs="Calibri"/>
          <w:sz w:val="24"/>
          <w:szCs w:val="24"/>
        </w:rPr>
      </w:pPr>
    </w:p>
    <w:p w:rsidR="003C25F6" w:rsidRPr="003C25F6" w:rsidRDefault="003C25F6" w:rsidP="003C25F6">
      <w:pPr>
        <w:spacing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1° -</w:t>
      </w:r>
      <w:r w:rsidRPr="003C25F6">
        <w:rPr>
          <w:rFonts w:ascii="Palatino Linotype" w:hAnsi="Palatino Linotype"/>
          <w:sz w:val="24"/>
          <w:szCs w:val="24"/>
        </w:rPr>
        <w:t xml:space="preserve"> O Poder Executivo Municipal fica autorizado a doar às famílias beneficiárias os imóveis assim identificados no Loteamento Jardim Ipê:</w:t>
      </w:r>
    </w:p>
    <w:p w:rsidR="003C25F6" w:rsidRPr="003C25F6" w:rsidRDefault="003C25F6" w:rsidP="003C25F6">
      <w:pPr>
        <w:spacing w:line="360" w:lineRule="auto"/>
        <w:ind w:firstLine="1701"/>
        <w:jc w:val="both"/>
        <w:rPr>
          <w:rFonts w:ascii="Palatino Linotype" w:hAnsi="Palatino Linotype"/>
          <w:b/>
          <w:sz w:val="24"/>
          <w:szCs w:val="24"/>
        </w:rPr>
      </w:pPr>
      <w:r w:rsidRPr="003C25F6">
        <w:rPr>
          <w:rFonts w:ascii="Palatino Linotype" w:hAnsi="Palatino Linotype"/>
          <w:b/>
          <w:sz w:val="24"/>
          <w:szCs w:val="24"/>
        </w:rPr>
        <w:t>I - Quadra 01:</w:t>
      </w:r>
    </w:p>
    <w:p w:rsidR="003C25F6" w:rsidRPr="00917214" w:rsidRDefault="003C25F6" w:rsidP="00917214">
      <w:pPr>
        <w:pStyle w:val="PargrafodaLista"/>
        <w:numPr>
          <w:ilvl w:val="0"/>
          <w:numId w:val="5"/>
        </w:numPr>
        <w:spacing w:line="360" w:lineRule="auto"/>
        <w:ind w:left="0" w:firstLine="1701"/>
        <w:jc w:val="both"/>
        <w:rPr>
          <w:rFonts w:ascii="Palatino Linotype" w:hAnsi="Palatino Linotype"/>
          <w:sz w:val="24"/>
          <w:szCs w:val="24"/>
        </w:rPr>
      </w:pPr>
      <w:r w:rsidRPr="003C25F6">
        <w:rPr>
          <w:rFonts w:ascii="Palatino Linotype" w:hAnsi="Palatino Linotype"/>
          <w:sz w:val="24"/>
          <w:szCs w:val="24"/>
        </w:rPr>
        <w:t>Lotes</w:t>
      </w:r>
      <w:r>
        <w:rPr>
          <w:rFonts w:ascii="Palatino Linotype" w:hAnsi="Palatino Linotype"/>
          <w:sz w:val="24"/>
          <w:szCs w:val="24"/>
        </w:rPr>
        <w:t>: 01, 01-A, 02,</w:t>
      </w:r>
      <w:r w:rsidRPr="003C25F6">
        <w:rPr>
          <w:rFonts w:ascii="Palatino Linotype" w:hAnsi="Palatino Linotype"/>
          <w:sz w:val="24"/>
          <w:szCs w:val="24"/>
        </w:rPr>
        <w:t xml:space="preserve"> 02-A, 03, 03-A,04, 04-A, 05, 05-A, 06, 06-A, 07</w:t>
      </w:r>
      <w:r w:rsidR="00917214">
        <w:rPr>
          <w:rFonts w:ascii="Palatino Linotype" w:hAnsi="Palatino Linotype"/>
          <w:sz w:val="24"/>
          <w:szCs w:val="24"/>
        </w:rPr>
        <w:t xml:space="preserve">, 07-A, 08, </w:t>
      </w:r>
      <w:r w:rsidR="00917214" w:rsidRPr="003C25F6">
        <w:rPr>
          <w:rFonts w:ascii="Palatino Linotype" w:hAnsi="Palatino Linotype"/>
          <w:sz w:val="24"/>
          <w:szCs w:val="24"/>
        </w:rPr>
        <w:t>08-A, 09, 09-A, 10, 10-A, 11, 11-A, 12, 12-A,13, 13-A, 14;</w:t>
      </w:r>
      <w:r w:rsidRPr="003C25F6">
        <w:rPr>
          <w:rFonts w:ascii="Palatino Linotype" w:hAnsi="Palatino Linotype"/>
          <w:sz w:val="24"/>
          <w:szCs w:val="24"/>
        </w:rPr>
        <w:t xml:space="preserve"> </w:t>
      </w:r>
      <w:bookmarkStart w:id="0" w:name="_GoBack"/>
      <w:bookmarkEnd w:id="0"/>
      <w:r w:rsidR="00917214">
        <w:rPr>
          <w:rFonts w:ascii="Palatino Linotype" w:hAnsi="Palatino Linotype"/>
          <w:sz w:val="24"/>
          <w:szCs w:val="24"/>
        </w:rPr>
        <w:t>Matriculas de n° 2.328</w:t>
      </w:r>
      <w:r w:rsidRPr="003C25F6">
        <w:rPr>
          <w:rFonts w:ascii="Palatino Linotype" w:hAnsi="Palatino Linotype"/>
          <w:sz w:val="24"/>
          <w:szCs w:val="24"/>
        </w:rPr>
        <w:t xml:space="preserve"> a </w:t>
      </w:r>
      <w:r w:rsidRPr="00917214">
        <w:rPr>
          <w:rFonts w:ascii="Palatino Linotype" w:hAnsi="Palatino Linotype"/>
          <w:sz w:val="24"/>
          <w:szCs w:val="24"/>
        </w:rPr>
        <w:t>2.354;</w:t>
      </w:r>
    </w:p>
    <w:p w:rsidR="003C25F6" w:rsidRPr="003C25F6" w:rsidRDefault="003C25F6" w:rsidP="003C25F6">
      <w:pPr>
        <w:spacing w:line="360" w:lineRule="auto"/>
        <w:ind w:firstLine="1701"/>
        <w:jc w:val="both"/>
        <w:rPr>
          <w:rFonts w:ascii="Palatino Linotype" w:hAnsi="Palatino Linotype"/>
          <w:b/>
          <w:sz w:val="24"/>
          <w:szCs w:val="24"/>
        </w:rPr>
      </w:pPr>
      <w:r w:rsidRPr="003C25F6">
        <w:rPr>
          <w:rFonts w:ascii="Palatino Linotype" w:hAnsi="Palatino Linotype"/>
          <w:b/>
          <w:sz w:val="24"/>
          <w:szCs w:val="24"/>
        </w:rPr>
        <w:lastRenderedPageBreak/>
        <w:t>II – Quadra 02:</w:t>
      </w:r>
    </w:p>
    <w:p w:rsidR="003C25F6" w:rsidRPr="003C25F6" w:rsidRDefault="003C25F6" w:rsidP="003C25F6">
      <w:pPr>
        <w:pStyle w:val="PargrafodaLista"/>
        <w:numPr>
          <w:ilvl w:val="0"/>
          <w:numId w:val="6"/>
        </w:numPr>
        <w:spacing w:line="360" w:lineRule="auto"/>
        <w:ind w:left="0" w:firstLine="1701"/>
        <w:jc w:val="both"/>
        <w:rPr>
          <w:rFonts w:ascii="Palatino Linotype" w:hAnsi="Palatino Linotype"/>
          <w:sz w:val="24"/>
          <w:szCs w:val="24"/>
        </w:rPr>
      </w:pPr>
      <w:r w:rsidRPr="003C25F6">
        <w:rPr>
          <w:rFonts w:ascii="Palatino Linotype" w:hAnsi="Palatino Linotype"/>
          <w:sz w:val="24"/>
          <w:szCs w:val="24"/>
        </w:rPr>
        <w:t>Lotes 01, 01-A, 02, 02-A, 03, 03-A,04, 04-A, 05, 05-A, 06, 06-A, 07, 07-A, 08, 08-A, 09, 09-A, 10, 10-A, 11, 11-A, 12, 12-A,13, 13-A; Matrículas de</w:t>
      </w:r>
      <w:r w:rsidR="00917214">
        <w:rPr>
          <w:rFonts w:ascii="Palatino Linotype" w:hAnsi="Palatino Linotype"/>
          <w:sz w:val="24"/>
          <w:szCs w:val="24"/>
        </w:rPr>
        <w:t xml:space="preserve"> n</w:t>
      </w:r>
      <w:r w:rsidRPr="003C25F6">
        <w:rPr>
          <w:rFonts w:ascii="Palatino Linotype" w:hAnsi="Palatino Linotype"/>
          <w:sz w:val="24"/>
          <w:szCs w:val="24"/>
        </w:rPr>
        <w:t>° 2.355 a 2.380;</w:t>
      </w:r>
    </w:p>
    <w:p w:rsidR="003C25F6" w:rsidRDefault="003C25F6" w:rsidP="003C25F6">
      <w:pPr>
        <w:spacing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2° -</w:t>
      </w:r>
      <w:r w:rsidRPr="003C25F6">
        <w:rPr>
          <w:rFonts w:ascii="Palatino Linotype" w:hAnsi="Palatino Linotype"/>
          <w:sz w:val="24"/>
          <w:szCs w:val="24"/>
        </w:rPr>
        <w:t xml:space="preserve"> Os referidos Lotes serão doados aos beneficiários que forem </w:t>
      </w:r>
      <w:r w:rsidR="00917214">
        <w:rPr>
          <w:rFonts w:ascii="Palatino Linotype" w:hAnsi="Palatino Linotype"/>
          <w:sz w:val="24"/>
          <w:szCs w:val="24"/>
        </w:rPr>
        <w:t>selecionados</w:t>
      </w:r>
      <w:r w:rsidRPr="003C25F6">
        <w:rPr>
          <w:rFonts w:ascii="Palatino Linotype" w:hAnsi="Palatino Linotype"/>
          <w:sz w:val="24"/>
          <w:szCs w:val="24"/>
        </w:rPr>
        <w:t xml:space="preserve"> pela Entidade </w:t>
      </w:r>
      <w:r w:rsidR="00E97D1B">
        <w:rPr>
          <w:rFonts w:ascii="Palatino Linotype" w:hAnsi="Palatino Linotype"/>
          <w:sz w:val="24"/>
          <w:szCs w:val="24"/>
        </w:rPr>
        <w:t xml:space="preserve">Organizadora e Comissão Municipal formada por um representante do Poder Executivo, um representante do Poder Legislativo e um representante da Defensoria Pública Estadual, </w:t>
      </w:r>
      <w:r w:rsidRPr="003C25F6">
        <w:rPr>
          <w:rFonts w:ascii="Palatino Linotype" w:hAnsi="Palatino Linotype"/>
          <w:sz w:val="24"/>
          <w:szCs w:val="24"/>
        </w:rPr>
        <w:t>devidamente autorizada pela Caixa Econômica Federal a participarem do</w:t>
      </w:r>
      <w:r w:rsidR="00917214">
        <w:rPr>
          <w:rFonts w:ascii="Palatino Linotype" w:hAnsi="Palatino Linotype"/>
          <w:sz w:val="24"/>
          <w:szCs w:val="24"/>
        </w:rPr>
        <w:t xml:space="preserve"> </w:t>
      </w:r>
      <w:r w:rsidRPr="003C25F6">
        <w:rPr>
          <w:rFonts w:ascii="Palatino Linotype" w:hAnsi="Palatino Linotype"/>
          <w:sz w:val="24"/>
          <w:szCs w:val="24"/>
        </w:rPr>
        <w:t xml:space="preserve">Programa Minha Casa Minha Vida conjugado com recursos do Programa </w:t>
      </w:r>
      <w:proofErr w:type="spellStart"/>
      <w:r w:rsidRPr="003C25F6">
        <w:rPr>
          <w:rFonts w:ascii="Palatino Linotype" w:hAnsi="Palatino Linotype"/>
          <w:sz w:val="24"/>
          <w:szCs w:val="24"/>
        </w:rPr>
        <w:t>Cart</w:t>
      </w:r>
      <w:r w:rsidR="00E97D1B">
        <w:rPr>
          <w:rFonts w:ascii="Palatino Linotype" w:hAnsi="Palatino Linotype"/>
          <w:sz w:val="24"/>
          <w:szCs w:val="24"/>
        </w:rPr>
        <w:t>e</w:t>
      </w:r>
      <w:proofErr w:type="spellEnd"/>
      <w:r w:rsidRPr="003C25F6">
        <w:rPr>
          <w:rFonts w:ascii="Palatino Linotype" w:hAnsi="Palatino Linotype"/>
          <w:sz w:val="24"/>
          <w:szCs w:val="24"/>
        </w:rPr>
        <w:t xml:space="preserve"> de Crédito Associativo FGTS, com a finalidade exclusiva de construção de moradias de conformid</w:t>
      </w:r>
      <w:r w:rsidR="00E97D1B">
        <w:rPr>
          <w:rFonts w:ascii="Palatino Linotype" w:hAnsi="Palatino Linotype"/>
          <w:sz w:val="24"/>
          <w:szCs w:val="24"/>
        </w:rPr>
        <w:t>ade com as normas estabelecidas.</w:t>
      </w:r>
    </w:p>
    <w:p w:rsidR="00917214" w:rsidRPr="003C25F6" w:rsidRDefault="00917214" w:rsidP="003C25F6">
      <w:pPr>
        <w:spacing w:line="360" w:lineRule="auto"/>
        <w:ind w:firstLine="1701"/>
        <w:jc w:val="both"/>
        <w:rPr>
          <w:rFonts w:ascii="Palatino Linotype" w:hAnsi="Palatino Linotype"/>
          <w:sz w:val="24"/>
          <w:szCs w:val="24"/>
        </w:rPr>
      </w:pPr>
      <w:r w:rsidRPr="00B42AB0">
        <w:rPr>
          <w:rFonts w:ascii="Palatino Linotype" w:hAnsi="Palatino Linotype"/>
          <w:b/>
          <w:sz w:val="24"/>
          <w:szCs w:val="24"/>
        </w:rPr>
        <w:t>I -</w:t>
      </w:r>
      <w:r>
        <w:rPr>
          <w:rFonts w:ascii="Palatino Linotype" w:hAnsi="Palatino Linotype"/>
          <w:sz w:val="24"/>
          <w:szCs w:val="24"/>
        </w:rPr>
        <w:t xml:space="preserve"> Os interessados deverão fazer cadastro na Secretaria de Assistência Social, junto ao setor de habitação.</w:t>
      </w:r>
    </w:p>
    <w:p w:rsidR="003C25F6" w:rsidRPr="003C25F6"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3° -</w:t>
      </w:r>
      <w:r w:rsidR="00384D8F">
        <w:rPr>
          <w:rFonts w:ascii="Palatino Linotype" w:hAnsi="Palatino Linotype"/>
          <w:sz w:val="24"/>
          <w:szCs w:val="24"/>
        </w:rPr>
        <w:t xml:space="preserve"> A pessoa beneficiária</w:t>
      </w:r>
      <w:r w:rsidRPr="003C25F6">
        <w:rPr>
          <w:rFonts w:ascii="Palatino Linotype" w:hAnsi="Palatino Linotype"/>
          <w:sz w:val="24"/>
          <w:szCs w:val="24"/>
        </w:rPr>
        <w:t xml:space="preserve"> terá o encargo de utilizar o imóvel doado nos termos desta Lei exclusivamente para construção de unidades habitacionais.</w:t>
      </w:r>
    </w:p>
    <w:p w:rsidR="003C25F6" w:rsidRPr="003C25F6"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4° -</w:t>
      </w:r>
      <w:r w:rsidRPr="003C25F6">
        <w:rPr>
          <w:rFonts w:ascii="Palatino Linotype" w:hAnsi="Palatino Linotype"/>
          <w:sz w:val="24"/>
          <w:szCs w:val="24"/>
        </w:rPr>
        <w:t xml:space="preserve"> A construção das Unidades Habitacionais nos imóveis doados nos termos desta Lei ficará dispensada de pagamento dos seguintes tributos e taxas municipais:</w:t>
      </w:r>
    </w:p>
    <w:p w:rsidR="003C25F6" w:rsidRPr="003C25F6" w:rsidRDefault="003C25F6" w:rsidP="003C25F6">
      <w:pPr>
        <w:spacing w:line="360" w:lineRule="auto"/>
        <w:ind w:firstLine="1701"/>
        <w:jc w:val="both"/>
        <w:rPr>
          <w:rFonts w:ascii="Palatino Linotype" w:hAnsi="Palatino Linotype"/>
          <w:sz w:val="24"/>
          <w:szCs w:val="24"/>
        </w:rPr>
      </w:pPr>
      <w:r w:rsidRPr="003C25F6">
        <w:rPr>
          <w:rFonts w:ascii="Palatino Linotype" w:hAnsi="Palatino Linotype"/>
          <w:b/>
          <w:sz w:val="24"/>
          <w:szCs w:val="24"/>
        </w:rPr>
        <w:t>I -</w:t>
      </w:r>
      <w:r w:rsidRPr="003C25F6">
        <w:rPr>
          <w:rFonts w:ascii="Palatino Linotype" w:hAnsi="Palatino Linotype"/>
          <w:sz w:val="24"/>
          <w:szCs w:val="24"/>
        </w:rPr>
        <w:t>ITBI - Imposto de Transmissão de bens imóveis, quando da transferência da propriedade do imóvel do Município para a pessoa beneficiada, na efetivação a doação;</w:t>
      </w:r>
    </w:p>
    <w:p w:rsidR="003C25F6" w:rsidRPr="003C25F6" w:rsidRDefault="003C25F6" w:rsidP="003C25F6">
      <w:pPr>
        <w:spacing w:line="360" w:lineRule="auto"/>
        <w:ind w:firstLine="1701"/>
        <w:jc w:val="both"/>
        <w:rPr>
          <w:rFonts w:ascii="Palatino Linotype" w:hAnsi="Palatino Linotype"/>
          <w:sz w:val="24"/>
          <w:szCs w:val="24"/>
        </w:rPr>
      </w:pPr>
      <w:r w:rsidRPr="003C25F6">
        <w:rPr>
          <w:rFonts w:ascii="Palatino Linotype" w:hAnsi="Palatino Linotype"/>
          <w:b/>
          <w:sz w:val="24"/>
          <w:szCs w:val="24"/>
        </w:rPr>
        <w:lastRenderedPageBreak/>
        <w:t>II –</w:t>
      </w:r>
      <w:r w:rsidRPr="003C25F6">
        <w:rPr>
          <w:rFonts w:ascii="Palatino Linotype" w:hAnsi="Palatino Linotype"/>
          <w:sz w:val="24"/>
          <w:szCs w:val="24"/>
        </w:rPr>
        <w:t xml:space="preserve"> IPTU – Imposto Predial e Territorial Urbano, no período compreendido entre a contratação do financiamento da construção até a expedição do habite-se;</w:t>
      </w:r>
    </w:p>
    <w:p w:rsidR="003C25F6" w:rsidRPr="003C25F6" w:rsidRDefault="003C25F6" w:rsidP="003C25F6">
      <w:pPr>
        <w:spacing w:line="360" w:lineRule="auto"/>
        <w:ind w:firstLine="1701"/>
        <w:jc w:val="both"/>
        <w:rPr>
          <w:rFonts w:ascii="Palatino Linotype" w:hAnsi="Palatino Linotype"/>
          <w:sz w:val="24"/>
          <w:szCs w:val="24"/>
        </w:rPr>
      </w:pPr>
      <w:r w:rsidRPr="003C25F6">
        <w:rPr>
          <w:rFonts w:ascii="Palatino Linotype" w:hAnsi="Palatino Linotype"/>
          <w:b/>
          <w:sz w:val="24"/>
          <w:szCs w:val="24"/>
        </w:rPr>
        <w:t>III –</w:t>
      </w:r>
      <w:r w:rsidRPr="003C25F6">
        <w:rPr>
          <w:rFonts w:ascii="Palatino Linotype" w:hAnsi="Palatino Linotype"/>
          <w:sz w:val="24"/>
          <w:szCs w:val="24"/>
        </w:rPr>
        <w:t xml:space="preserve"> ISSQN – Isenção do Imposto Sobre Serviços de qualquer natureza, incidente sobre as operações relativas à construção de unidades habitacionais e obras de </w:t>
      </w:r>
      <w:proofErr w:type="spellStart"/>
      <w:r w:rsidRPr="003C25F6">
        <w:rPr>
          <w:rFonts w:ascii="Palatino Linotype" w:hAnsi="Palatino Linotype"/>
          <w:sz w:val="24"/>
          <w:szCs w:val="24"/>
        </w:rPr>
        <w:t>infraestrutura</w:t>
      </w:r>
      <w:proofErr w:type="spellEnd"/>
      <w:r w:rsidRPr="003C25F6">
        <w:rPr>
          <w:rFonts w:ascii="Palatino Linotype" w:hAnsi="Palatino Linotype"/>
          <w:sz w:val="24"/>
          <w:szCs w:val="24"/>
        </w:rPr>
        <w:t xml:space="preserve"> necessária a viabilização do empreendimento;</w:t>
      </w:r>
    </w:p>
    <w:p w:rsidR="003C25F6" w:rsidRPr="003C25F6" w:rsidRDefault="003C25F6" w:rsidP="003C25F6">
      <w:pPr>
        <w:spacing w:line="360" w:lineRule="auto"/>
        <w:ind w:firstLine="1701"/>
        <w:jc w:val="both"/>
        <w:rPr>
          <w:rFonts w:ascii="Palatino Linotype" w:hAnsi="Palatino Linotype"/>
          <w:sz w:val="24"/>
          <w:szCs w:val="24"/>
        </w:rPr>
      </w:pPr>
      <w:r w:rsidRPr="003C25F6">
        <w:rPr>
          <w:rFonts w:ascii="Palatino Linotype" w:hAnsi="Palatino Linotype"/>
          <w:b/>
          <w:sz w:val="24"/>
          <w:szCs w:val="24"/>
        </w:rPr>
        <w:t>IV –</w:t>
      </w:r>
      <w:r w:rsidRPr="003C25F6">
        <w:rPr>
          <w:rFonts w:ascii="Palatino Linotype" w:hAnsi="Palatino Linotype"/>
          <w:sz w:val="24"/>
          <w:szCs w:val="24"/>
        </w:rPr>
        <w:t xml:space="preserve"> Taxas referentes à expedição de alvará de construção e habite-se.</w:t>
      </w:r>
    </w:p>
    <w:p w:rsidR="003C25F6" w:rsidRPr="003C25F6"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5º - </w:t>
      </w:r>
      <w:r w:rsidRPr="003C25F6">
        <w:rPr>
          <w:rFonts w:ascii="Palatino Linotype" w:hAnsi="Palatino Linotype"/>
          <w:sz w:val="24"/>
          <w:szCs w:val="24"/>
        </w:rPr>
        <w:t>Fica o Poder Executivo Municipal autorizado a firmar Termo de Parceria com a Entidade organizadora que poderá ser Entidade Privada sem fins lucrativos, autorizada pela Caixa Econômica Federal, de acordo as regras do Programa de construção de unidades habitacionais de interesse social na área descrita no artigo 1°.</w:t>
      </w:r>
    </w:p>
    <w:p w:rsidR="003C25F6" w:rsidRPr="003C25F6"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6° -</w:t>
      </w:r>
      <w:r w:rsidRPr="003C25F6">
        <w:rPr>
          <w:rFonts w:ascii="Palatino Linotype" w:hAnsi="Palatino Linotype"/>
          <w:sz w:val="24"/>
          <w:szCs w:val="24"/>
        </w:rPr>
        <w:t xml:space="preserve"> Só Poderão ser beneficiadas pelo programa de interesse social as famílias que atendam ao estabelecido na legislação do referido Programa.</w:t>
      </w:r>
    </w:p>
    <w:p w:rsidR="00A25195"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7° -</w:t>
      </w:r>
      <w:r w:rsidRPr="003C25F6">
        <w:rPr>
          <w:rFonts w:ascii="Palatino Linotype" w:hAnsi="Palatino Linotype"/>
          <w:sz w:val="24"/>
          <w:szCs w:val="24"/>
        </w:rPr>
        <w:t xml:space="preserve"> As despesas decorrentes da execução presente Lei correrão por conta de dotações consignadas no orçamento vigente e suplementadas, se necessárias, com contrapartidas </w:t>
      </w:r>
    </w:p>
    <w:p w:rsidR="003C25F6" w:rsidRPr="003C25F6" w:rsidRDefault="003C25F6" w:rsidP="00B42AB0">
      <w:pPr>
        <w:spacing w:before="240" w:line="360" w:lineRule="auto"/>
        <w:ind w:firstLine="1701"/>
        <w:jc w:val="both"/>
        <w:rPr>
          <w:rFonts w:ascii="Palatino Linotype" w:hAnsi="Palatino Linotype"/>
          <w:sz w:val="24"/>
          <w:szCs w:val="24"/>
        </w:rPr>
      </w:pPr>
      <w:proofErr w:type="spellStart"/>
      <w:r w:rsidRPr="003C25F6">
        <w:rPr>
          <w:rFonts w:ascii="Palatino Linotype" w:hAnsi="Palatino Linotype"/>
          <w:b/>
          <w:sz w:val="24"/>
          <w:szCs w:val="24"/>
        </w:rPr>
        <w:t>Art</w:t>
      </w:r>
      <w:proofErr w:type="spellEnd"/>
      <w:r w:rsidRPr="003C25F6">
        <w:rPr>
          <w:rFonts w:ascii="Palatino Linotype" w:hAnsi="Palatino Linotype"/>
          <w:b/>
          <w:sz w:val="24"/>
          <w:szCs w:val="24"/>
        </w:rPr>
        <w:t xml:space="preserve"> 8° -</w:t>
      </w:r>
      <w:r w:rsidRPr="003C25F6">
        <w:rPr>
          <w:rFonts w:ascii="Palatino Linotype" w:hAnsi="Palatino Linotype"/>
          <w:sz w:val="24"/>
          <w:szCs w:val="24"/>
        </w:rPr>
        <w:t xml:space="preserve"> Esta Lei entra em vigor na data de sua publicação.</w:t>
      </w:r>
    </w:p>
    <w:p w:rsidR="00B42AB0" w:rsidRDefault="00B42AB0" w:rsidP="003C25F6">
      <w:pPr>
        <w:spacing w:line="360" w:lineRule="auto"/>
        <w:ind w:firstLine="1701"/>
        <w:jc w:val="both"/>
        <w:rPr>
          <w:rFonts w:ascii="Palatino Linotype" w:hAnsi="Palatino Linotype" w:cs="Calibri"/>
          <w:sz w:val="24"/>
          <w:szCs w:val="24"/>
        </w:rPr>
      </w:pPr>
    </w:p>
    <w:p w:rsidR="00C77B83" w:rsidRPr="00B3461B" w:rsidRDefault="00C77B83" w:rsidP="003C25F6">
      <w:pPr>
        <w:spacing w:line="360" w:lineRule="auto"/>
        <w:ind w:firstLine="1701"/>
        <w:jc w:val="both"/>
        <w:rPr>
          <w:rFonts w:ascii="Palatino Linotype" w:hAnsi="Palatino Linotype" w:cs="Calibri"/>
          <w:sz w:val="24"/>
          <w:szCs w:val="24"/>
        </w:rPr>
      </w:pPr>
      <w:r w:rsidRPr="00B3461B">
        <w:rPr>
          <w:rFonts w:ascii="Palatino Linotype" w:hAnsi="Palatino Linotype" w:cs="Calibri"/>
          <w:sz w:val="24"/>
          <w:szCs w:val="24"/>
        </w:rPr>
        <w:t xml:space="preserve">Edifício da Prefeitura Municipal de Itaquiraí MS, </w:t>
      </w:r>
      <w:r w:rsidR="00B42AB0">
        <w:rPr>
          <w:rFonts w:ascii="Palatino Linotype" w:hAnsi="Palatino Linotype" w:cs="Calibri"/>
          <w:sz w:val="24"/>
          <w:szCs w:val="24"/>
        </w:rPr>
        <w:t>01</w:t>
      </w:r>
      <w:r w:rsidRPr="00B3461B">
        <w:rPr>
          <w:rFonts w:ascii="Palatino Linotype" w:hAnsi="Palatino Linotype" w:cs="Calibri"/>
          <w:sz w:val="24"/>
          <w:szCs w:val="24"/>
        </w:rPr>
        <w:t xml:space="preserve"> de </w:t>
      </w:r>
      <w:r w:rsidR="00B42AB0">
        <w:rPr>
          <w:rFonts w:ascii="Palatino Linotype" w:hAnsi="Palatino Linotype" w:cs="Calibri"/>
          <w:sz w:val="24"/>
          <w:szCs w:val="24"/>
        </w:rPr>
        <w:t>dezembro</w:t>
      </w:r>
      <w:r w:rsidR="00B3461B" w:rsidRPr="00B3461B">
        <w:rPr>
          <w:rFonts w:ascii="Palatino Linotype" w:hAnsi="Palatino Linotype" w:cs="Calibri"/>
          <w:sz w:val="24"/>
          <w:szCs w:val="24"/>
        </w:rPr>
        <w:t xml:space="preserve"> de 2015</w:t>
      </w:r>
      <w:r w:rsidRPr="00B3461B">
        <w:rPr>
          <w:rFonts w:ascii="Palatino Linotype" w:hAnsi="Palatino Linotype" w:cs="Calibri"/>
          <w:sz w:val="24"/>
          <w:szCs w:val="24"/>
        </w:rPr>
        <w:t>.</w:t>
      </w:r>
    </w:p>
    <w:p w:rsidR="00C77B83" w:rsidRPr="00B3461B" w:rsidRDefault="00C77B83" w:rsidP="003C25F6">
      <w:pPr>
        <w:spacing w:line="360" w:lineRule="auto"/>
        <w:jc w:val="both"/>
        <w:rPr>
          <w:rFonts w:ascii="Palatino Linotype" w:hAnsi="Palatino Linotype" w:cs="Calibri"/>
          <w:sz w:val="24"/>
          <w:szCs w:val="24"/>
        </w:rPr>
      </w:pPr>
    </w:p>
    <w:p w:rsidR="00B3461B" w:rsidRDefault="00B3461B" w:rsidP="003C25F6">
      <w:pPr>
        <w:spacing w:line="360" w:lineRule="auto"/>
        <w:jc w:val="center"/>
        <w:rPr>
          <w:rFonts w:ascii="Palatino Linotype" w:eastAsia="Calibri" w:hAnsi="Palatino Linotype" w:cs="Calibri"/>
          <w:b/>
          <w:sz w:val="24"/>
          <w:szCs w:val="24"/>
        </w:rPr>
      </w:pPr>
    </w:p>
    <w:p w:rsidR="00C77B83" w:rsidRPr="00B3461B" w:rsidRDefault="00B42AB0" w:rsidP="003C25F6">
      <w:pPr>
        <w:spacing w:line="360" w:lineRule="auto"/>
        <w:jc w:val="center"/>
        <w:rPr>
          <w:rFonts w:ascii="Palatino Linotype" w:eastAsia="Calibri" w:hAnsi="Palatino Linotype" w:cs="Calibri"/>
          <w:b/>
          <w:sz w:val="24"/>
          <w:szCs w:val="24"/>
        </w:rPr>
      </w:pPr>
      <w:r>
        <w:rPr>
          <w:rFonts w:ascii="Palatino Linotype" w:eastAsia="Calibri" w:hAnsi="Palatino Linotype" w:cs="Calibri"/>
          <w:b/>
          <w:sz w:val="24"/>
          <w:szCs w:val="24"/>
        </w:rPr>
        <w:t>RICARDO FÁ</w:t>
      </w:r>
      <w:r w:rsidR="00C77B83" w:rsidRPr="00B3461B">
        <w:rPr>
          <w:rFonts w:ascii="Palatino Linotype" w:eastAsia="Calibri" w:hAnsi="Palatino Linotype" w:cs="Calibri"/>
          <w:b/>
          <w:sz w:val="24"/>
          <w:szCs w:val="24"/>
        </w:rPr>
        <w:t>VARO NETO</w:t>
      </w:r>
    </w:p>
    <w:p w:rsidR="009E51F8" w:rsidRPr="00B3461B" w:rsidRDefault="005613E7" w:rsidP="003C25F6">
      <w:pPr>
        <w:spacing w:line="360" w:lineRule="auto"/>
        <w:jc w:val="both"/>
        <w:rPr>
          <w:rFonts w:ascii="Palatino Linotype" w:eastAsia="Calibri" w:hAnsi="Palatino Linotype" w:cs="Calibri"/>
          <w:i/>
          <w:sz w:val="24"/>
          <w:szCs w:val="24"/>
        </w:rPr>
      </w:pPr>
      <w:r w:rsidRPr="00B3461B">
        <w:rPr>
          <w:rFonts w:ascii="Palatino Linotype" w:eastAsia="Calibri" w:hAnsi="Palatino Linotype" w:cs="Calibri"/>
          <w:i/>
          <w:sz w:val="24"/>
          <w:szCs w:val="24"/>
        </w:rPr>
        <w:t xml:space="preserve"> </w:t>
      </w:r>
      <w:r w:rsidRPr="00B3461B">
        <w:rPr>
          <w:rFonts w:ascii="Palatino Linotype" w:eastAsia="Calibri" w:hAnsi="Palatino Linotype" w:cs="Calibri"/>
          <w:i/>
          <w:sz w:val="24"/>
          <w:szCs w:val="24"/>
        </w:rPr>
        <w:tab/>
      </w:r>
      <w:r w:rsidRPr="00B3461B">
        <w:rPr>
          <w:rFonts w:ascii="Palatino Linotype" w:eastAsia="Calibri" w:hAnsi="Palatino Linotype" w:cs="Calibri"/>
          <w:i/>
          <w:sz w:val="24"/>
          <w:szCs w:val="24"/>
        </w:rPr>
        <w:tab/>
      </w:r>
      <w:r w:rsidRPr="00B3461B">
        <w:rPr>
          <w:rFonts w:ascii="Palatino Linotype" w:eastAsia="Calibri" w:hAnsi="Palatino Linotype" w:cs="Calibri"/>
          <w:i/>
          <w:sz w:val="24"/>
          <w:szCs w:val="24"/>
        </w:rPr>
        <w:tab/>
      </w:r>
      <w:r w:rsidRPr="00B3461B">
        <w:rPr>
          <w:rFonts w:ascii="Palatino Linotype" w:eastAsia="Calibri" w:hAnsi="Palatino Linotype" w:cs="Calibri"/>
          <w:i/>
          <w:sz w:val="24"/>
          <w:szCs w:val="24"/>
        </w:rPr>
        <w:tab/>
      </w:r>
      <w:r w:rsidR="00C77B83" w:rsidRPr="00B3461B">
        <w:rPr>
          <w:rFonts w:ascii="Palatino Linotype" w:eastAsia="Calibri" w:hAnsi="Palatino Linotype" w:cs="Calibri"/>
          <w:i/>
          <w:sz w:val="24"/>
          <w:szCs w:val="24"/>
        </w:rPr>
        <w:t>PREFEITO MUNICIPAL</w:t>
      </w:r>
    </w:p>
    <w:p w:rsidR="00C77B83" w:rsidRDefault="00C77B83" w:rsidP="003C25F6">
      <w:pPr>
        <w:spacing w:line="360" w:lineRule="auto"/>
        <w:jc w:val="both"/>
        <w:rPr>
          <w:rFonts w:ascii="Palatino Linotype" w:hAnsi="Palatino Linotype" w:cs="Courier New"/>
          <w:b/>
          <w:spacing w:val="-12"/>
          <w:sz w:val="22"/>
          <w:szCs w:val="22"/>
        </w:rPr>
      </w:pPr>
    </w:p>
    <w:p w:rsidR="00430C3E" w:rsidRDefault="00430C3E" w:rsidP="003C25F6">
      <w:pPr>
        <w:spacing w:line="360" w:lineRule="auto"/>
        <w:jc w:val="both"/>
        <w:rPr>
          <w:rFonts w:ascii="Palatino Linotype" w:hAnsi="Palatino Linotype" w:cs="Courier New"/>
          <w:b/>
          <w:spacing w:val="-12"/>
          <w:sz w:val="22"/>
          <w:szCs w:val="22"/>
        </w:rPr>
      </w:pPr>
    </w:p>
    <w:sectPr w:rsidR="00430C3E" w:rsidSect="00530B77">
      <w:headerReference w:type="even" r:id="rId8"/>
      <w:headerReference w:type="default" r:id="rId9"/>
      <w:footerReference w:type="default" r:id="rId10"/>
      <w:pgSz w:w="11907" w:h="16840" w:code="9"/>
      <w:pgMar w:top="2552" w:right="1984" w:bottom="1242" w:left="1701" w:header="284" w:footer="3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AE" w:rsidRDefault="004168AE">
      <w:r>
        <w:separator/>
      </w:r>
    </w:p>
  </w:endnote>
  <w:endnote w:type="continuationSeparator" w:id="1">
    <w:p w:rsidR="004168AE" w:rsidRDefault="00416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F" w:rsidRDefault="00C55CCF">
    <w:pPr>
      <w:pStyle w:val="Rodap"/>
      <w:jc w:val="center"/>
      <w:rPr>
        <w:sz w:val="18"/>
      </w:rPr>
    </w:pPr>
    <w:r>
      <w:rPr>
        <w:noProof/>
        <w:sz w:val="18"/>
      </w:rPr>
      <w:pict>
        <v:shapetype id="_x0000_t32" coordsize="21600,21600" o:spt="32" o:oned="t" path="m,l21600,21600e" filled="f">
          <v:path arrowok="t" fillok="f" o:connecttype="none"/>
          <o:lock v:ext="edit" shapetype="t"/>
        </v:shapetype>
        <v:shape id="_x0000_s2052" type="#_x0000_t32" style="position:absolute;left:0;text-align:left;margin-left:-2.55pt;margin-top:2.55pt;width:419.25pt;height:0;z-index:251657728" o:connectortype="straight"/>
      </w:pict>
    </w:r>
  </w:p>
  <w:p w:rsidR="00C55CCF" w:rsidRPr="00BC00E4" w:rsidRDefault="00C55CCF">
    <w:pPr>
      <w:pStyle w:val="Rodap"/>
      <w:tabs>
        <w:tab w:val="clear" w:pos="8838"/>
      </w:tabs>
      <w:ind w:right="-142"/>
      <w:jc w:val="center"/>
      <w:rPr>
        <w:rFonts w:ascii="Arial" w:hAnsi="Arial" w:cs="Arial"/>
        <w:b/>
        <w:sz w:val="18"/>
      </w:rPr>
    </w:pPr>
    <w:r w:rsidRPr="00BC00E4">
      <w:rPr>
        <w:rFonts w:ascii="Arial" w:hAnsi="Arial" w:cs="Arial"/>
        <w:b/>
        <w:sz w:val="18"/>
      </w:rPr>
      <w:t>Rua Campo Grande, 1585 – Centro - CEP - 79.965-000 – Itaquiraí – MS</w:t>
    </w:r>
  </w:p>
  <w:p w:rsidR="00C55CCF" w:rsidRPr="00BC00E4" w:rsidRDefault="00C55CCF" w:rsidP="00D6214C">
    <w:pPr>
      <w:pStyle w:val="Rodap"/>
      <w:tabs>
        <w:tab w:val="clear" w:pos="8838"/>
      </w:tabs>
      <w:ind w:right="-142"/>
      <w:jc w:val="center"/>
      <w:rPr>
        <w:rFonts w:ascii="Arial" w:hAnsi="Arial" w:cs="Arial"/>
        <w:b/>
      </w:rPr>
    </w:pPr>
    <w:r>
      <w:rPr>
        <w:rFonts w:ascii="Arial" w:hAnsi="Arial" w:cs="Arial"/>
        <w:b/>
        <w:sz w:val="18"/>
      </w:rPr>
      <w:t xml:space="preserve">Fone: (67) 3476-1110 </w:t>
    </w:r>
    <w:r w:rsidRPr="00BC00E4">
      <w:rPr>
        <w:rFonts w:ascii="Arial" w:hAnsi="Arial" w:cs="Arial"/>
        <w:b/>
        <w:sz w:val="18"/>
      </w:rPr>
      <w:t xml:space="preserve">– e-mail: </w:t>
    </w:r>
    <w:hyperlink r:id="rId1" w:history="1">
      <w:r w:rsidRPr="00BC00E4">
        <w:rPr>
          <w:rStyle w:val="Hyperlink"/>
          <w:rFonts w:ascii="Arial" w:hAnsi="Arial" w:cs="Arial"/>
          <w:b/>
          <w:color w:val="auto"/>
          <w:sz w:val="18"/>
          <w:u w:val="none"/>
        </w:rPr>
        <w:t>itaquirai@itaquirai.ms.gov.br</w:t>
      </w:r>
    </w:hyperlink>
    <w:r w:rsidRPr="00BC00E4">
      <w:rPr>
        <w:rFonts w:ascii="Arial" w:hAnsi="Arial" w:cs="Arial"/>
        <w:b/>
        <w:sz w:val="18"/>
      </w:rPr>
      <w:t xml:space="preserve"> – Site: www.itaquirai.ms.gov.br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AE" w:rsidRDefault="004168AE">
      <w:r>
        <w:separator/>
      </w:r>
    </w:p>
  </w:footnote>
  <w:footnote w:type="continuationSeparator" w:id="1">
    <w:p w:rsidR="004168AE" w:rsidRDefault="00416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F" w:rsidRDefault="00C55C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CCF" w:rsidRDefault="00C55CC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F" w:rsidRDefault="00C55CCF" w:rsidP="00636BCB">
    <w:pPr>
      <w:pStyle w:val="Cabealho"/>
      <w:jc w:val="center"/>
    </w:pPr>
    <w:r>
      <w:object w:dxaOrig="4763"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4.25pt" o:ole="" fillcolor="window">
          <v:imagedata r:id="rId1" o:title=""/>
        </v:shape>
        <o:OLEObject Type="Embed" ProgID="CDraw5" ShapeID="_x0000_i1025" DrawAspect="Content" ObjectID="_1510727665" r:id="rId2"/>
      </w:object>
    </w:r>
  </w:p>
  <w:p w:rsidR="00C55CCF" w:rsidRPr="00636BCB" w:rsidRDefault="00C55CCF" w:rsidP="00636BCB">
    <w:pPr>
      <w:pStyle w:val="Cabealho"/>
      <w:jc w:val="center"/>
      <w:rPr>
        <w:rFonts w:ascii="Arial" w:hAnsi="Arial" w:cs="Arial"/>
        <w:b/>
        <w:sz w:val="28"/>
        <w:szCs w:val="28"/>
      </w:rPr>
    </w:pPr>
    <w:r w:rsidRPr="00636BCB">
      <w:rPr>
        <w:rFonts w:ascii="Arial" w:hAnsi="Arial" w:cs="Arial"/>
        <w:b/>
        <w:sz w:val="28"/>
        <w:szCs w:val="28"/>
      </w:rPr>
      <w:t>MUNICÍPIO DE ITAQUIRAÍ</w:t>
    </w:r>
  </w:p>
  <w:p w:rsidR="00C55CCF" w:rsidRPr="00BC00E4" w:rsidRDefault="00C55CCF" w:rsidP="00636BCB">
    <w:pPr>
      <w:pStyle w:val="Cabealho"/>
      <w:jc w:val="center"/>
      <w:rPr>
        <w:rFonts w:ascii="Arial" w:hAnsi="Arial" w:cs="Arial"/>
        <w:b/>
        <w:sz w:val="22"/>
        <w:szCs w:val="22"/>
      </w:rPr>
    </w:pPr>
    <w:r w:rsidRPr="00BC00E4">
      <w:rPr>
        <w:rFonts w:ascii="Arial" w:hAnsi="Arial" w:cs="Arial"/>
        <w:b/>
        <w:sz w:val="22"/>
        <w:szCs w:val="22"/>
      </w:rPr>
      <w:t>ESTADO DE MATO GROSSO DO SUL</w:t>
    </w:r>
  </w:p>
  <w:p w:rsidR="00C55CCF" w:rsidRPr="00BC00E4" w:rsidRDefault="00C55CCF" w:rsidP="00636BCB">
    <w:pPr>
      <w:pStyle w:val="Cabealho"/>
      <w:jc w:val="center"/>
      <w:rPr>
        <w:rFonts w:ascii="Arial" w:hAnsi="Arial" w:cs="Arial"/>
        <w:b/>
      </w:rPr>
    </w:pPr>
    <w:r w:rsidRPr="00BC00E4">
      <w:rPr>
        <w:rFonts w:ascii="Arial" w:hAnsi="Arial" w:cs="Arial"/>
        <w:b/>
      </w:rPr>
      <w:t>CNPJ 15.403.041/0001-04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FCE"/>
    <w:multiLevelType w:val="hybridMultilevel"/>
    <w:tmpl w:val="A66ADD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D7E5704"/>
    <w:multiLevelType w:val="hybridMultilevel"/>
    <w:tmpl w:val="DC7E52B2"/>
    <w:lvl w:ilvl="0" w:tplc="0FA2256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BEF30F0"/>
    <w:multiLevelType w:val="hybridMultilevel"/>
    <w:tmpl w:val="61E4C7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744DC5"/>
    <w:multiLevelType w:val="hybridMultilevel"/>
    <w:tmpl w:val="55286808"/>
    <w:lvl w:ilvl="0" w:tplc="DE2265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60190"/>
    <w:multiLevelType w:val="hybridMultilevel"/>
    <w:tmpl w:val="C71AD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4D112A"/>
    <w:multiLevelType w:val="hybridMultilevel"/>
    <w:tmpl w:val="315886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rules v:ext="edit">
        <o:r id="V:Rule2" type="connector" idref="#_x0000_s2052"/>
      </o:rules>
    </o:shapelayout>
  </w:hdrShapeDefaults>
  <w:footnotePr>
    <w:footnote w:id="0"/>
    <w:footnote w:id="1"/>
  </w:footnotePr>
  <w:endnotePr>
    <w:endnote w:id="0"/>
    <w:endnote w:id="1"/>
  </w:endnotePr>
  <w:compat/>
  <w:rsids>
    <w:rsidRoot w:val="007F72D6"/>
    <w:rsid w:val="00016975"/>
    <w:rsid w:val="00067E0A"/>
    <w:rsid w:val="00091DBC"/>
    <w:rsid w:val="000A3FB4"/>
    <w:rsid w:val="000B1141"/>
    <w:rsid w:val="001B03B7"/>
    <w:rsid w:val="001D3968"/>
    <w:rsid w:val="00200319"/>
    <w:rsid w:val="00216FE0"/>
    <w:rsid w:val="00245991"/>
    <w:rsid w:val="00246154"/>
    <w:rsid w:val="00246DAA"/>
    <w:rsid w:val="00253415"/>
    <w:rsid w:val="002674CA"/>
    <w:rsid w:val="002A5908"/>
    <w:rsid w:val="002B4EC5"/>
    <w:rsid w:val="002C2653"/>
    <w:rsid w:val="002F6228"/>
    <w:rsid w:val="0031047F"/>
    <w:rsid w:val="00313F85"/>
    <w:rsid w:val="00322EED"/>
    <w:rsid w:val="003532C8"/>
    <w:rsid w:val="00384D8F"/>
    <w:rsid w:val="003C25F6"/>
    <w:rsid w:val="004168AE"/>
    <w:rsid w:val="00430C3E"/>
    <w:rsid w:val="004418BD"/>
    <w:rsid w:val="004521AB"/>
    <w:rsid w:val="00461DBE"/>
    <w:rsid w:val="00462426"/>
    <w:rsid w:val="0048085D"/>
    <w:rsid w:val="004C2F4F"/>
    <w:rsid w:val="004C362E"/>
    <w:rsid w:val="004C3886"/>
    <w:rsid w:val="00512270"/>
    <w:rsid w:val="00530B77"/>
    <w:rsid w:val="00535248"/>
    <w:rsid w:val="00547A8B"/>
    <w:rsid w:val="0055339C"/>
    <w:rsid w:val="005613E7"/>
    <w:rsid w:val="00597C7D"/>
    <w:rsid w:val="00636BCB"/>
    <w:rsid w:val="00676207"/>
    <w:rsid w:val="00692D21"/>
    <w:rsid w:val="00696A68"/>
    <w:rsid w:val="006A6CFD"/>
    <w:rsid w:val="00734390"/>
    <w:rsid w:val="00760222"/>
    <w:rsid w:val="007F72D6"/>
    <w:rsid w:val="008C193C"/>
    <w:rsid w:val="008D5784"/>
    <w:rsid w:val="008F5817"/>
    <w:rsid w:val="009133C3"/>
    <w:rsid w:val="00917214"/>
    <w:rsid w:val="00940CE7"/>
    <w:rsid w:val="00971608"/>
    <w:rsid w:val="00995452"/>
    <w:rsid w:val="009B4CD6"/>
    <w:rsid w:val="009B57D9"/>
    <w:rsid w:val="009D022D"/>
    <w:rsid w:val="009E5050"/>
    <w:rsid w:val="009E51F8"/>
    <w:rsid w:val="009F4570"/>
    <w:rsid w:val="009F561F"/>
    <w:rsid w:val="00A2401E"/>
    <w:rsid w:val="00A25195"/>
    <w:rsid w:val="00A67204"/>
    <w:rsid w:val="00A93FAE"/>
    <w:rsid w:val="00AA0C1F"/>
    <w:rsid w:val="00AA39FB"/>
    <w:rsid w:val="00AE4961"/>
    <w:rsid w:val="00AE7FED"/>
    <w:rsid w:val="00B0623C"/>
    <w:rsid w:val="00B06DC6"/>
    <w:rsid w:val="00B27197"/>
    <w:rsid w:val="00B3461B"/>
    <w:rsid w:val="00B42AB0"/>
    <w:rsid w:val="00B56A1F"/>
    <w:rsid w:val="00B57B60"/>
    <w:rsid w:val="00B72458"/>
    <w:rsid w:val="00B824E0"/>
    <w:rsid w:val="00B9474A"/>
    <w:rsid w:val="00BB2F0C"/>
    <w:rsid w:val="00BB666A"/>
    <w:rsid w:val="00BC00E4"/>
    <w:rsid w:val="00BC0BB4"/>
    <w:rsid w:val="00BC5B57"/>
    <w:rsid w:val="00C03317"/>
    <w:rsid w:val="00C16966"/>
    <w:rsid w:val="00C2710C"/>
    <w:rsid w:val="00C55CCF"/>
    <w:rsid w:val="00C771C0"/>
    <w:rsid w:val="00C77B83"/>
    <w:rsid w:val="00C93BE2"/>
    <w:rsid w:val="00CC4D2B"/>
    <w:rsid w:val="00CD1E31"/>
    <w:rsid w:val="00CF6446"/>
    <w:rsid w:val="00D019A9"/>
    <w:rsid w:val="00D36134"/>
    <w:rsid w:val="00D6090A"/>
    <w:rsid w:val="00D6214C"/>
    <w:rsid w:val="00E10EE7"/>
    <w:rsid w:val="00E23276"/>
    <w:rsid w:val="00E35630"/>
    <w:rsid w:val="00E54656"/>
    <w:rsid w:val="00E97D1B"/>
    <w:rsid w:val="00EA54F9"/>
    <w:rsid w:val="00EB2B65"/>
    <w:rsid w:val="00EC1E33"/>
    <w:rsid w:val="00ED0E2D"/>
    <w:rsid w:val="00F06109"/>
    <w:rsid w:val="00F408D8"/>
    <w:rsid w:val="00F939AA"/>
    <w:rsid w:val="00FC01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sz w:val="26"/>
    </w:rPr>
  </w:style>
  <w:style w:type="paragraph" w:styleId="Ttulo2">
    <w:name w:val="heading 2"/>
    <w:basedOn w:val="Normal"/>
    <w:next w:val="Normal"/>
    <w:qFormat/>
    <w:pPr>
      <w:keepNext/>
      <w:jc w:val="both"/>
      <w:outlineLvl w:val="1"/>
    </w:pPr>
    <w:rPr>
      <w:sz w:val="26"/>
    </w:rPr>
  </w:style>
  <w:style w:type="paragraph" w:styleId="Ttulo3">
    <w:name w:val="heading 3"/>
    <w:basedOn w:val="Normal"/>
    <w:next w:val="Normal"/>
    <w:link w:val="Ttulo3Char"/>
    <w:qFormat/>
    <w:pPr>
      <w:keepNext/>
      <w:jc w:val="both"/>
      <w:outlineLvl w:val="2"/>
    </w:pPr>
    <w:rPr>
      <w:b/>
      <w:bCs/>
      <w:sz w:val="26"/>
    </w:rPr>
  </w:style>
  <w:style w:type="paragraph" w:styleId="Ttulo4">
    <w:name w:val="heading 4"/>
    <w:basedOn w:val="Normal"/>
    <w:next w:val="Normal"/>
    <w:qFormat/>
    <w:pPr>
      <w:keepNext/>
      <w:ind w:firstLine="3544"/>
      <w:jc w:val="both"/>
      <w:outlineLvl w:val="3"/>
    </w:pPr>
    <w:rPr>
      <w:sz w:val="26"/>
    </w:rPr>
  </w:style>
  <w:style w:type="paragraph" w:styleId="Ttulo5">
    <w:name w:val="heading 5"/>
    <w:basedOn w:val="Normal"/>
    <w:next w:val="Normal"/>
    <w:qFormat/>
    <w:pPr>
      <w:keepNext/>
      <w:jc w:val="both"/>
      <w:outlineLvl w:val="4"/>
    </w:pPr>
    <w:rPr>
      <w:b/>
      <w:bCs/>
      <w:sz w:val="26"/>
      <w:u w:val="single"/>
    </w:rPr>
  </w:style>
  <w:style w:type="paragraph" w:styleId="Ttulo6">
    <w:name w:val="heading 6"/>
    <w:basedOn w:val="Normal"/>
    <w:next w:val="Normal"/>
    <w:qFormat/>
    <w:pPr>
      <w:keepNext/>
      <w:jc w:val="center"/>
      <w:outlineLvl w:val="5"/>
    </w:pPr>
    <w:rPr>
      <w:b/>
      <w:bCs/>
      <w:sz w:val="26"/>
    </w:rPr>
  </w:style>
  <w:style w:type="paragraph" w:styleId="Ttulo7">
    <w:name w:val="heading 7"/>
    <w:basedOn w:val="Normal"/>
    <w:next w:val="Normal"/>
    <w:qFormat/>
    <w:pPr>
      <w:keepNext/>
      <w:outlineLvl w:val="6"/>
    </w:pPr>
    <w:rPr>
      <w:sz w:val="26"/>
    </w:rPr>
  </w:style>
  <w:style w:type="paragraph" w:styleId="Ttulo8">
    <w:name w:val="heading 8"/>
    <w:basedOn w:val="Normal"/>
    <w:next w:val="Normal"/>
    <w:qFormat/>
    <w:pPr>
      <w:keepNext/>
      <w:ind w:firstLine="1418"/>
      <w:jc w:val="both"/>
      <w:outlineLvl w:val="7"/>
    </w:pPr>
    <w:rPr>
      <w:bCs/>
      <w:sz w:val="24"/>
      <w:szCs w:val="24"/>
    </w:rPr>
  </w:style>
  <w:style w:type="paragraph" w:styleId="Ttulo9">
    <w:name w:val="heading 9"/>
    <w:basedOn w:val="Normal"/>
    <w:next w:val="Normal"/>
    <w:qFormat/>
    <w:pPr>
      <w:keepNext/>
      <w:spacing w:line="360" w:lineRule="auto"/>
      <w:jc w:val="both"/>
      <w:outlineLvl w:val="8"/>
    </w:pPr>
    <w:rPr>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basedOn w:val="Fontepargpadro"/>
    <w:rPr>
      <w:color w:val="0000FF"/>
      <w:u w:val="single"/>
    </w:rPr>
  </w:style>
  <w:style w:type="paragraph" w:styleId="Ttulo">
    <w:name w:val="Title"/>
    <w:basedOn w:val="Normal"/>
    <w:link w:val="TtuloChar"/>
    <w:qFormat/>
    <w:pPr>
      <w:jc w:val="center"/>
    </w:pPr>
    <w:rPr>
      <w:b/>
      <w:bCs/>
      <w:sz w:val="26"/>
    </w:rPr>
  </w:style>
  <w:style w:type="paragraph" w:styleId="Subttulo">
    <w:name w:val="Subtitle"/>
    <w:basedOn w:val="Normal"/>
    <w:qFormat/>
    <w:pPr>
      <w:jc w:val="center"/>
    </w:pPr>
    <w:rPr>
      <w:b/>
      <w:bCs/>
      <w:sz w:val="26"/>
    </w:rPr>
  </w:style>
  <w:style w:type="paragraph" w:styleId="Recuodecorpodetexto">
    <w:name w:val="Body Text Indent"/>
    <w:basedOn w:val="Normal"/>
    <w:pPr>
      <w:ind w:firstLine="3544"/>
      <w:jc w:val="both"/>
    </w:pPr>
    <w:rPr>
      <w:sz w:val="26"/>
    </w:rPr>
  </w:style>
  <w:style w:type="character" w:styleId="Nmerodepgina">
    <w:name w:val="page number"/>
    <w:basedOn w:val="Fontepargpadro"/>
  </w:style>
  <w:style w:type="paragraph" w:styleId="Textodebalo">
    <w:name w:val="Balloon Text"/>
    <w:basedOn w:val="Normal"/>
    <w:semiHidden/>
    <w:rPr>
      <w:rFonts w:ascii="Tahoma" w:hAnsi="Tahoma" w:cs="Tahoma"/>
      <w:sz w:val="16"/>
      <w:szCs w:val="16"/>
    </w:r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customStyle="1" w:styleId="Default">
    <w:name w:val="Default"/>
    <w:rsid w:val="009F4570"/>
    <w:pPr>
      <w:autoSpaceDE w:val="0"/>
      <w:autoSpaceDN w:val="0"/>
      <w:adjustRightInd w:val="0"/>
    </w:pPr>
    <w:rPr>
      <w:color w:val="000000"/>
      <w:sz w:val="24"/>
      <w:szCs w:val="24"/>
    </w:rPr>
  </w:style>
  <w:style w:type="paragraph" w:styleId="Recuodecorpodetexto3">
    <w:name w:val="Body Text Indent 3"/>
    <w:basedOn w:val="Normal"/>
    <w:link w:val="Recuodecorpodetexto3Char"/>
    <w:rsid w:val="00C03317"/>
    <w:pPr>
      <w:spacing w:after="120"/>
      <w:ind w:left="283"/>
    </w:pPr>
    <w:rPr>
      <w:sz w:val="16"/>
      <w:szCs w:val="16"/>
    </w:rPr>
  </w:style>
  <w:style w:type="character" w:customStyle="1" w:styleId="Recuodecorpodetexto3Char">
    <w:name w:val="Recuo de corpo de texto 3 Char"/>
    <w:basedOn w:val="Fontepargpadro"/>
    <w:link w:val="Recuodecorpodetexto3"/>
    <w:rsid w:val="00C03317"/>
    <w:rPr>
      <w:sz w:val="16"/>
      <w:szCs w:val="16"/>
    </w:rPr>
  </w:style>
  <w:style w:type="character" w:customStyle="1" w:styleId="TtuloChar">
    <w:name w:val="Título Char"/>
    <w:basedOn w:val="Fontepargpadro"/>
    <w:link w:val="Ttulo"/>
    <w:rsid w:val="00C03317"/>
    <w:rPr>
      <w:b/>
      <w:bCs/>
      <w:sz w:val="26"/>
    </w:rPr>
  </w:style>
  <w:style w:type="paragraph" w:customStyle="1" w:styleId="Estilo">
    <w:name w:val="Estilo"/>
    <w:rsid w:val="00C03317"/>
    <w:pPr>
      <w:widowControl w:val="0"/>
      <w:autoSpaceDE w:val="0"/>
      <w:autoSpaceDN w:val="0"/>
      <w:adjustRightInd w:val="0"/>
    </w:pPr>
    <w:rPr>
      <w:rFonts w:ascii="Arial" w:hAnsi="Arial" w:cs="Arial"/>
      <w:sz w:val="24"/>
      <w:szCs w:val="24"/>
    </w:rPr>
  </w:style>
  <w:style w:type="character" w:customStyle="1" w:styleId="Ttulo3Char">
    <w:name w:val="Título 3 Char"/>
    <w:basedOn w:val="Fontepargpadro"/>
    <w:link w:val="Ttulo3"/>
    <w:rsid w:val="009E51F8"/>
    <w:rPr>
      <w:b/>
      <w:bCs/>
      <w:sz w:val="26"/>
    </w:rPr>
  </w:style>
  <w:style w:type="paragraph" w:styleId="PargrafodaLista">
    <w:name w:val="List Paragraph"/>
    <w:basedOn w:val="Normal"/>
    <w:uiPriority w:val="34"/>
    <w:qFormat/>
    <w:rsid w:val="003C25F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082029">
      <w:bodyDiv w:val="1"/>
      <w:marLeft w:val="0"/>
      <w:marRight w:val="0"/>
      <w:marTop w:val="0"/>
      <w:marBottom w:val="0"/>
      <w:divBdr>
        <w:top w:val="none" w:sz="0" w:space="0" w:color="auto"/>
        <w:left w:val="none" w:sz="0" w:space="0" w:color="auto"/>
        <w:bottom w:val="none" w:sz="0" w:space="0" w:color="auto"/>
        <w:right w:val="none" w:sz="0" w:space="0" w:color="auto"/>
      </w:divBdr>
    </w:div>
    <w:div w:id="72550324">
      <w:bodyDiv w:val="1"/>
      <w:marLeft w:val="0"/>
      <w:marRight w:val="0"/>
      <w:marTop w:val="0"/>
      <w:marBottom w:val="0"/>
      <w:divBdr>
        <w:top w:val="none" w:sz="0" w:space="0" w:color="auto"/>
        <w:left w:val="none" w:sz="0" w:space="0" w:color="auto"/>
        <w:bottom w:val="none" w:sz="0" w:space="0" w:color="auto"/>
        <w:right w:val="none" w:sz="0" w:space="0" w:color="auto"/>
      </w:divBdr>
    </w:div>
    <w:div w:id="243494588">
      <w:bodyDiv w:val="1"/>
      <w:marLeft w:val="0"/>
      <w:marRight w:val="0"/>
      <w:marTop w:val="0"/>
      <w:marBottom w:val="0"/>
      <w:divBdr>
        <w:top w:val="none" w:sz="0" w:space="0" w:color="auto"/>
        <w:left w:val="none" w:sz="0" w:space="0" w:color="auto"/>
        <w:bottom w:val="none" w:sz="0" w:space="0" w:color="auto"/>
        <w:right w:val="none" w:sz="0" w:space="0" w:color="auto"/>
      </w:divBdr>
    </w:div>
    <w:div w:id="9390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aquirai@itaquirai.ms.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65411-0AD7-40F5-8DC7-FB47362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539</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TABELA DE DIÁRIAS</vt:lpstr>
    </vt:vector>
  </TitlesOfParts>
  <Company/>
  <LinksUpToDate>false</LinksUpToDate>
  <CharactersWithSpaces>3429</CharactersWithSpaces>
  <SharedDoc>false</SharedDoc>
  <HLinks>
    <vt:vector size="6" baseType="variant">
      <vt:variant>
        <vt:i4>1179684</vt:i4>
      </vt:variant>
      <vt:variant>
        <vt:i4>5</vt:i4>
      </vt:variant>
      <vt:variant>
        <vt:i4>0</vt:i4>
      </vt:variant>
      <vt:variant>
        <vt:i4>5</vt:i4>
      </vt:variant>
      <vt:variant>
        <vt:lpwstr>mailto:itaquirai@itaquirai.ms.gov.br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DE DIÁRIAS</dc:title>
  <dc:creator>Silvano</dc:creator>
  <cp:lastModifiedBy>Silvano</cp:lastModifiedBy>
  <cp:revision>3</cp:revision>
  <cp:lastPrinted>2015-12-04T11:40:00Z</cp:lastPrinted>
  <dcterms:created xsi:type="dcterms:W3CDTF">2015-12-04T11:38:00Z</dcterms:created>
  <dcterms:modified xsi:type="dcterms:W3CDTF">2015-12-04T11:48:00Z</dcterms:modified>
</cp:coreProperties>
</file>